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BA6" w:rsidRPr="005A4C2B" w:rsidRDefault="00821BA6" w:rsidP="00821BA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21BA6" w:rsidRPr="005A4C2B" w:rsidRDefault="00821BA6" w:rsidP="00821BA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821BA6" w:rsidRPr="005A4C2B" w:rsidRDefault="00821BA6" w:rsidP="00821BA6">
      <w:pPr>
        <w:spacing w:after="0" w:line="240" w:lineRule="auto"/>
        <w:rPr>
          <w:rFonts w:ascii="Corbel" w:hAnsi="Corbel"/>
          <w:sz w:val="21"/>
          <w:szCs w:val="21"/>
        </w:rPr>
      </w:pP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Finanse i rachunkowość grup kapitałowych</w:t>
            </w:r>
          </w:p>
        </w:tc>
      </w:tr>
      <w:tr w:rsidR="00821BA6" w:rsidRPr="00B56A7F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/C-1.3b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  <w:r w:rsidRPr="005A4C2B">
              <w:rPr>
                <w:rFonts w:ascii="Corbel" w:hAnsi="Corbel"/>
                <w:b w:val="0"/>
                <w:smallCaps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do wyboru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Paulina Filip</w:t>
            </w:r>
          </w:p>
        </w:tc>
      </w:tr>
      <w:tr w:rsidR="00821BA6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</w:tbl>
    <w:p w:rsidR="00821BA6" w:rsidRPr="005A4C2B" w:rsidRDefault="00821BA6" w:rsidP="00821BA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21BA6" w:rsidRPr="005A4C2B" w:rsidRDefault="00821BA6" w:rsidP="00821BA6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821BA6" w:rsidRPr="005A4C2B" w:rsidTr="00812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21BA6" w:rsidRPr="005A4C2B" w:rsidRDefault="00821BA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21BA6" w:rsidRPr="005A4C2B" w:rsidTr="00812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821BA6" w:rsidRPr="005A4C2B" w:rsidRDefault="00821BA6" w:rsidP="00821BA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21BA6" w:rsidRPr="005A4C2B" w:rsidRDefault="00821BA6" w:rsidP="00821BA6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1.2.  Sposób realizacji zajęć  </w:t>
      </w:r>
    </w:p>
    <w:p w:rsidR="00821BA6" w:rsidRPr="005A4C2B" w:rsidRDefault="00821BA6" w:rsidP="00821BA6">
      <w:pPr>
        <w:pStyle w:val="Odpowiedzi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z w:val="21"/>
          <w:szCs w:val="21"/>
        </w:rPr>
        <w:t xml:space="preserve">  zajęcia w formie tradycyjnej </w:t>
      </w:r>
    </w:p>
    <w:p w:rsidR="00821BA6" w:rsidRPr="005A4C2B" w:rsidRDefault="00821BA6" w:rsidP="00821BA6">
      <w:pPr>
        <w:pStyle w:val="Odpowiedzi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z w:val="21"/>
          <w:szCs w:val="21"/>
        </w:rPr>
        <w:t xml:space="preserve"> zajęcia realizowane z wykorzystaniem metod i technik kształcenia na odległość</w:t>
      </w: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21BA6" w:rsidRPr="005A4C2B" w:rsidRDefault="00821BA6" w:rsidP="00821BA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(egzamin, zaliczenie z oceną, zaliczenie bez oceny) </w:t>
      </w: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>egzamin</w:t>
      </w: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Student powinien posiadać wiedzę z zakresu rachunkowości finansowej oraz znajomość aktualnych wydarzeń, znajomość przepisów prawa gospodarczego oraz podatkowego.</w:t>
            </w:r>
          </w:p>
        </w:tc>
      </w:tr>
    </w:tbl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21BA6" w:rsidRPr="005A4C2B" w:rsidRDefault="00821BA6" w:rsidP="00821BA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21BA6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Przedstawienie podstawowych problemów grupy kapitałowej i ich gospodarki finansowej. Poznanie zadań systemu ewidencyjnego w korporacjach i grupach kapitałowych oraz powiązań kapitałowych i finansowych.</w:t>
            </w:r>
          </w:p>
        </w:tc>
      </w:tr>
      <w:tr w:rsidR="00821BA6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Poznanie metod wyceny poszczególnych przepływów kapitałowych i wyników przedsiębiorstwa oraz ich wzajemnego oddziaływanie przyczynowo-skutkowego.</w:t>
            </w:r>
          </w:p>
        </w:tc>
      </w:tr>
      <w:tr w:rsidR="00821BA6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Przedstawienie metod pozyskiwania, przekształcania i analizowania danych pełnej ewidencji księgowej jednostki wiodącej i grup z nią powiązanych.</w:t>
            </w:r>
          </w:p>
        </w:tc>
      </w:tr>
      <w:tr w:rsidR="00821BA6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Poznanie aktualnych uregulowań prawnych – norm i standardów w procesie ewidencji zdarzeń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gospodarczych firm powiązanych i możliwości analizy wzajemnych oddziaływań.</w:t>
            </w:r>
          </w:p>
        </w:tc>
      </w:tr>
    </w:tbl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821BA6" w:rsidRPr="005A4C2B" w:rsidRDefault="00821BA6" w:rsidP="00821BA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5666"/>
        <w:gridCol w:w="1845"/>
      </w:tblGrid>
      <w:tr w:rsidR="00821BA6" w:rsidRPr="005A4C2B" w:rsidTr="008121B6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mallCaps w:val="0"/>
                <w:sz w:val="21"/>
                <w:szCs w:val="21"/>
                <w:lang w:eastAsia="pl-PL"/>
              </w:rPr>
              <w:t>EK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(efekt kształcenia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Odniesienie do efektów  kierunkowych </w:t>
            </w:r>
            <w:r w:rsidRPr="005A4C2B">
              <w:rPr>
                <w:rFonts w:ascii="Corbel" w:eastAsia="Times New Roman" w:hAnsi="Corbel"/>
                <w:smallCaps w:val="0"/>
                <w:sz w:val="21"/>
                <w:szCs w:val="21"/>
                <w:lang w:eastAsia="pl-PL"/>
              </w:rPr>
              <w:t>(KEK</w:t>
            </w:r>
            <w:r w:rsidRPr="005A4C2B">
              <w:rPr>
                <w:rFonts w:ascii="Corbel" w:hAnsi="Corbel"/>
                <w:sz w:val="21"/>
                <w:szCs w:val="21"/>
              </w:rPr>
              <w:t>)</w:t>
            </w:r>
          </w:p>
        </w:tc>
      </w:tr>
      <w:tr w:rsidR="00821BA6" w:rsidRPr="005A4C2B" w:rsidTr="008121B6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Opisuje podstawowe problemy i zadania systemu ewidencyjnego w korporacjach i grupach kapitałowych. Dysponuje wiedzą w zakresie powiązań kapitałowych i finansowych.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_W01</w:t>
            </w:r>
          </w:p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K_W07</w:t>
            </w:r>
          </w:p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K_U04</w:t>
            </w:r>
          </w:p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K_K01</w:t>
            </w:r>
          </w:p>
        </w:tc>
      </w:tr>
      <w:tr w:rsidR="00821BA6" w:rsidRPr="005A4C2B" w:rsidTr="008121B6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BA6" w:rsidRPr="005A4C2B" w:rsidRDefault="00821BA6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Legitymuje się pogłębioną wiedzą o metodach wyceny poszczególnych przepływów kapitałowych. Zna związki przyczynowo-skutkowe zachodzące między nimi, określa ich przebieg i skutki w sposób decyzyjny.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K_U04</w:t>
            </w:r>
          </w:p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K_U10</w:t>
            </w:r>
          </w:p>
        </w:tc>
      </w:tr>
      <w:tr w:rsidR="00821BA6" w:rsidRPr="005A4C2B" w:rsidTr="008121B6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Posługuje się normami i standardami w procesie ewidencji zdarzeń gospodarczych firm powiązanych kapitałowo. Potrafi wnikliwe analizować procesy zachodzące w przedsiębiorstwie funkcjonującym jako przedsiębiorstwo globalne.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K_W10</w:t>
            </w:r>
          </w:p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K_U05</w:t>
            </w:r>
          </w:p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K_U06</w:t>
            </w:r>
          </w:p>
        </w:tc>
      </w:tr>
    </w:tbl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21BA6" w:rsidRPr="005A4C2B" w:rsidRDefault="00821BA6" w:rsidP="00821BA6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821BA6" w:rsidRPr="005A4C2B" w:rsidRDefault="00821BA6" w:rsidP="00821BA6">
      <w:pPr>
        <w:pStyle w:val="Akapitzlist"/>
        <w:numPr>
          <w:ilvl w:val="0"/>
          <w:numId w:val="3"/>
        </w:numPr>
        <w:spacing w:after="0" w:line="240" w:lineRule="auto"/>
        <w:ind w:left="993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Wprowadzenie do gospodarki finansowej i zarządzania grupą kapitałową.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Istota globalizacji . Harmonizacja i standaryzacja rachunkowości. Międzynarodowe standardy rachunkowości grupy kapitałowej. </w:t>
            </w:r>
          </w:p>
        </w:tc>
      </w:tr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Grupa kapitałowa i zarządzanie korporacją.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Definicja grupy kapitałowej, jednostki powiązanej oraz zależnej. Struktura korporacji krajowej i międzynarodowej. Organizacja gospodarki finansowej w firmie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jednooddziałowej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wielooddziałowej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Przepływy pieniężne w korporacjach i powiązania kapitałowe. Obowiązek sporządzania jednostkowego skonsolidowanego sprawozdania finansowego.</w:t>
            </w:r>
          </w:p>
        </w:tc>
      </w:tr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Ewidencja księgowa typowych zdarzeń transakcji gospodarczych – ujęcie zasobowe i procesowe. 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Ewidencja księgowa zapasów, rozliczeń i rozrachunków. Szczególne cechy rachunkowości grupy kapitałowej. Wycena zapasów, inwestycji finansowych, kapitałów, transakcji rozliczeniowych.</w:t>
            </w:r>
          </w:p>
        </w:tc>
      </w:tr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Ceny transferowe i ewidencja wyników. 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wycena rozliczeń i rozrachunków w sprawozdaniach finansowych. Ewidencja księgowa nietypowych zdarzeń gospodarczych.</w:t>
            </w:r>
          </w:p>
        </w:tc>
      </w:tr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Ryzyka finansowe.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Ryzyko i jego kategorie w firmie. Ryzyko strat finansowych w warunkach polskich. Zarządzanie ryzykiem w korporacji. Kursy walutowe i różnice kursowe. Techniki zabezpieczania przed ryzykiem walutowym. Ewidencja rezerw księgowych. </w:t>
            </w:r>
          </w:p>
        </w:tc>
      </w:tr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Wycena bilansowa i formuły ustalania wyniku finansowego w korporacji.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Charakterystyka kont oraz operacji wynikowych. Dekretacja i ewidencja operacji wynikowych. Metody ustalania wyniku finansowego oraz formy jego prezentacji. Ustalanie i podział wyniku finansowego.</w:t>
            </w:r>
          </w:p>
        </w:tc>
      </w:tr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Konsolidacja sprawozdań finansowych.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Metody przeliczeń sprawozdań finansowych. Metody sporządzania skonsolidowanych sprawozdań finansowych. Metody i techniki włączeń. </w:t>
            </w:r>
          </w:p>
        </w:tc>
      </w:tr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Interpretacja danych sprawozdań korporacji i grup kapitałowych – analizy porównawcze.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i interpretacja danych sprawozdań grup kapitałowych. Analiza wstępna i wskaźnikowa. Interpretacja danych księgowych pochodzących z jednostkowych sprawozdań finansowych oraz ich znaczenie w skonsolidowanych sprawozdaniach finansowych.</w:t>
            </w:r>
          </w:p>
        </w:tc>
      </w:tr>
    </w:tbl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21BA6" w:rsidRPr="005A4C2B" w:rsidRDefault="00821BA6" w:rsidP="00821BA6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</w:p>
    <w:p w:rsidR="00821BA6" w:rsidRPr="005A4C2B" w:rsidRDefault="00821BA6" w:rsidP="00821BA6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lastRenderedPageBreak/>
        <w:t>Ćwiczenia: dyskusja, analiza i interpretacja skonsolidowanych sprawozdań finansowych oraz tekstów źródłowych, rozwiązywanie zadań i praca w grupach.</w:t>
      </w:r>
    </w:p>
    <w:p w:rsidR="00821BA6" w:rsidRPr="005A4C2B" w:rsidRDefault="00821BA6" w:rsidP="00821BA6">
      <w:pPr>
        <w:spacing w:after="0" w:line="240" w:lineRule="auto"/>
        <w:rPr>
          <w:rFonts w:ascii="Corbel" w:hAnsi="Corbel"/>
          <w:sz w:val="21"/>
          <w:szCs w:val="21"/>
        </w:rPr>
      </w:pPr>
    </w:p>
    <w:p w:rsidR="00821BA6" w:rsidRPr="005A4C2B" w:rsidRDefault="00821BA6" w:rsidP="00821BA6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 METODY I KRYTERIA OCENY </w:t>
      </w:r>
    </w:p>
    <w:p w:rsidR="00821BA6" w:rsidRPr="005A4C2B" w:rsidRDefault="00821BA6" w:rsidP="00821BA6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22"/>
        <w:gridCol w:w="2090"/>
      </w:tblGrid>
      <w:tr w:rsidR="00821BA6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21BA6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21BA6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21BA6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821BA6" w:rsidRPr="005A4C2B" w:rsidRDefault="00821BA6" w:rsidP="00821BA6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821BA6" w:rsidRPr="005A4C2B" w:rsidRDefault="00821BA6" w:rsidP="00821BA6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21BA6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821BA6" w:rsidRPr="005A4C2B" w:rsidRDefault="00821BA6" w:rsidP="00821BA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821BA6" w:rsidRPr="005A4C2B" w:rsidRDefault="00821BA6" w:rsidP="00821BA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 maksymalnej ilości punktów przypisanych przez prowadzących zajęcia do poszczególnych prac i aktywności składających się na zaliczenie przedmiotu.</w:t>
            </w:r>
          </w:p>
          <w:p w:rsidR="00821BA6" w:rsidRPr="005A4C2B" w:rsidRDefault="00821BA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</w:tc>
      </w:tr>
    </w:tbl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21BA6" w:rsidRPr="005A4C2B" w:rsidRDefault="00821BA6" w:rsidP="00821BA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821BA6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21BA6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821BA6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21BA6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821BA6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821BA6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821BA6" w:rsidRPr="005A4C2B" w:rsidRDefault="00821BA6" w:rsidP="00821BA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3"/>
        <w:gridCol w:w="4555"/>
      </w:tblGrid>
      <w:tr w:rsidR="00821BA6" w:rsidRPr="005A4C2B" w:rsidTr="008121B6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821BA6" w:rsidRPr="005A4C2B" w:rsidTr="008121B6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21BA6" w:rsidRPr="005A4C2B" w:rsidRDefault="00821BA6" w:rsidP="00821BA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21BA6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821BA6" w:rsidRPr="005A4C2B" w:rsidRDefault="00821BA6" w:rsidP="00821B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Kralicek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P., Podstawy rachunkowości korporacyjnej – bilans, rachunek zysków i strat , przepływy pieniężne, Międzynarodowa Szkoła Menedżerów, Warszawa 2007.</w:t>
            </w:r>
          </w:p>
          <w:p w:rsidR="00821BA6" w:rsidRPr="005A4C2B" w:rsidRDefault="00821BA6" w:rsidP="00821B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Judkowiak A., Rachunek grup kapitałowych i rachunkowość zarządcza w procesie podejmowania decyzji,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ODiDK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Gdańsk 2009.</w:t>
            </w:r>
          </w:p>
          <w:p w:rsidR="00821BA6" w:rsidRPr="005A4C2B" w:rsidRDefault="00821BA6" w:rsidP="00821B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mallCaps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Remlein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821BA6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A6" w:rsidRPr="005A4C2B" w:rsidRDefault="00821BA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21BA6" w:rsidRPr="005A4C2B" w:rsidRDefault="00821BA6" w:rsidP="00821BA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Winiarska K., Rachunkowość międzynarodowa, PWN, Warszawa 2010.</w:t>
            </w:r>
          </w:p>
          <w:p w:rsidR="00821BA6" w:rsidRPr="005A4C2B" w:rsidRDefault="00821BA6" w:rsidP="00821BA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Głuchowski 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Huterski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Jaaskelainen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Veikko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Nielsen Hans P., Zarządzanie finansami w korporacjach międzynarodowych, Wydawnictwo Naukowe Uniwersytetu Mikołaja Kopernika, Toruń 2009.</w:t>
            </w:r>
          </w:p>
          <w:p w:rsidR="00821BA6" w:rsidRPr="005A4C2B" w:rsidRDefault="00821BA6" w:rsidP="00821BA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Remlein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:rsidR="00821BA6" w:rsidRPr="005A4C2B" w:rsidRDefault="00821BA6" w:rsidP="00821BA6">
      <w:pPr>
        <w:rPr>
          <w:rFonts w:ascii="Corbel" w:hAnsi="Corbel"/>
          <w:sz w:val="21"/>
          <w:szCs w:val="21"/>
        </w:rPr>
      </w:pPr>
    </w:p>
    <w:p w:rsidR="00821BA6" w:rsidRPr="005A4C2B" w:rsidRDefault="00821BA6" w:rsidP="00821BA6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1838"/>
    <w:multiLevelType w:val="hybridMultilevel"/>
    <w:tmpl w:val="C1BA989A"/>
    <w:lvl w:ilvl="0" w:tplc="495CAAFE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6A45BA"/>
    <w:multiLevelType w:val="hybridMultilevel"/>
    <w:tmpl w:val="7D86E8A8"/>
    <w:lvl w:ilvl="0" w:tplc="F84E5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21BA6"/>
    <w:rsid w:val="00821BA6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BA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1BA6"/>
    <w:pPr>
      <w:ind w:left="720"/>
      <w:contextualSpacing/>
    </w:pPr>
  </w:style>
  <w:style w:type="paragraph" w:customStyle="1" w:styleId="Punktygwne">
    <w:name w:val="Punkty główne"/>
    <w:basedOn w:val="Normalny"/>
    <w:rsid w:val="00821B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21B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21B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21B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21B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21BA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21B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21B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821BA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1B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1BA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6498</Characters>
  <Application>Microsoft Office Word</Application>
  <DocSecurity>0</DocSecurity>
  <Lines>54</Lines>
  <Paragraphs>15</Paragraphs>
  <ScaleCrop>false</ScaleCrop>
  <Company/>
  <LinksUpToDate>false</LinksUpToDate>
  <CharactersWithSpaces>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2019-02-03T19:16:00Z</dcterms:created>
  <dcterms:modified xsi:type="dcterms:W3CDTF">2019-02-03T19:16:00Z</dcterms:modified>
</cp:coreProperties>
</file>